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A56B" w14:textId="77777777" w:rsidR="00C53DF1" w:rsidRDefault="00AF44C9">
      <w:pPr>
        <w:shd w:val="clear" w:color="auto" w:fill="FFFFFF"/>
        <w:spacing w:before="240" w:after="220"/>
        <w:jc w:val="center"/>
        <w:rPr>
          <w:b/>
          <w:color w:val="0063A6"/>
          <w:sz w:val="40"/>
          <w:szCs w:val="40"/>
        </w:rPr>
      </w:pPr>
      <w:r>
        <w:rPr>
          <w:b/>
          <w:color w:val="0063A6"/>
          <w:sz w:val="36"/>
          <w:szCs w:val="36"/>
        </w:rPr>
        <w:t xml:space="preserve"> </w:t>
      </w:r>
      <w:r>
        <w:rPr>
          <w:b/>
          <w:color w:val="0063A6"/>
          <w:sz w:val="40"/>
          <w:szCs w:val="40"/>
        </w:rPr>
        <w:t>Online-Meeting Software “TSNmeeting”</w:t>
      </w:r>
    </w:p>
    <w:p w14:paraId="3B70B8BD" w14:textId="77777777" w:rsidR="00C53DF1" w:rsidRDefault="00AF44C9">
      <w:pPr>
        <w:shd w:val="clear" w:color="auto" w:fill="FFFFFF"/>
        <w:spacing w:before="240" w:after="220"/>
        <w:rPr>
          <w:b/>
          <w:color w:val="0063A6"/>
        </w:rPr>
      </w:pPr>
      <w:r>
        <w:rPr>
          <w:b/>
          <w:color w:val="0063A6"/>
        </w:rPr>
        <w:t>Sichere, mit umfassenden Funktionen ausgestattete und vollkommen kostenlose Videokonferenzen mit TSNmeeting</w:t>
      </w:r>
    </w:p>
    <w:p w14:paraId="6E6BED58" w14:textId="77777777" w:rsidR="00C53DF1" w:rsidRDefault="00AF44C9">
      <w:pPr>
        <w:shd w:val="clear" w:color="auto" w:fill="FFFFFF"/>
        <w:spacing w:before="240" w:after="220"/>
        <w:rPr>
          <w:color w:val="0063A6"/>
        </w:rPr>
      </w:pPr>
      <w:r>
        <w:rPr>
          <w:color w:val="0063A6"/>
        </w:rPr>
        <w:t>Beginne eine Videokonferenz mit einem Team oder einer Klasse. “TSNmeeting” basiert auf der Software Jitsi.org und ist eine vollständig verschlüsselte, aus 100% Open-Source- Software bestehende Tiroler Videokonferenzlösung, die du den ganzen Tag kostenlos v</w:t>
      </w:r>
      <w:r>
        <w:rPr>
          <w:color w:val="0063A6"/>
        </w:rPr>
        <w:t>erwenden kannst - ohne Registrierung.</w:t>
      </w:r>
    </w:p>
    <w:p w14:paraId="3D7D3C22" w14:textId="77777777" w:rsidR="00C53DF1" w:rsidRDefault="00AF44C9">
      <w:pPr>
        <w:spacing w:before="240" w:after="240"/>
        <w:rPr>
          <w:color w:val="0063A6"/>
          <w:sz w:val="32"/>
          <w:szCs w:val="32"/>
        </w:rPr>
      </w:pPr>
      <w:r>
        <w:rPr>
          <w:color w:val="0063A6"/>
          <w:sz w:val="32"/>
          <w:szCs w:val="32"/>
        </w:rPr>
        <w:t>Anleitung für Teilnehmer/innen</w:t>
      </w:r>
    </w:p>
    <w:p w14:paraId="0878C53D" w14:textId="77777777" w:rsidR="00C53DF1" w:rsidRDefault="00AF44C9">
      <w:pPr>
        <w:spacing w:before="240" w:after="240"/>
        <w:rPr>
          <w:i/>
          <w:color w:val="0063A6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color w:val="0063A6"/>
          <w:sz w:val="24"/>
          <w:szCs w:val="24"/>
        </w:rPr>
        <w:t>Browser</w:t>
      </w:r>
    </w:p>
    <w:p w14:paraId="1C336352" w14:textId="77777777" w:rsidR="00C53DF1" w:rsidRDefault="00AF44C9">
      <w:pPr>
        <w:numPr>
          <w:ilvl w:val="0"/>
          <w:numId w:val="4"/>
        </w:numPr>
        <w:spacing w:before="240"/>
      </w:pPr>
      <w:r>
        <w:rPr>
          <w:b/>
        </w:rPr>
        <w:t>Google Chrome</w:t>
      </w:r>
      <w:r>
        <w:t xml:space="preserve"> ist für die Konferenz mit TSNmeeting (Jitsi) am besten geeignet. Es kann auch der Browser </w:t>
      </w:r>
      <w:r>
        <w:rPr>
          <w:b/>
        </w:rPr>
        <w:t>Firefox</w:t>
      </w:r>
      <w:r>
        <w:t xml:space="preserve"> verwendet werden, jedoch gibt es hier hin und wieder Probleme. Bi</w:t>
      </w:r>
      <w:r>
        <w:t xml:space="preserve">tte </w:t>
      </w:r>
      <w:r>
        <w:rPr>
          <w:b/>
        </w:rPr>
        <w:t>keinen Safari</w:t>
      </w:r>
      <w:r>
        <w:t xml:space="preserve"> verwenden!</w:t>
      </w:r>
    </w:p>
    <w:p w14:paraId="7A75F011" w14:textId="548D4DD2" w:rsidR="00C53DF1" w:rsidRDefault="00AF44C9">
      <w:pPr>
        <w:numPr>
          <w:ilvl w:val="0"/>
          <w:numId w:val="4"/>
        </w:numPr>
      </w:pPr>
      <w:r>
        <w:t xml:space="preserve">Klicke den Link zur </w:t>
      </w:r>
      <w:r w:rsidR="00A76A68">
        <w:t>TSNmeeting</w:t>
      </w:r>
      <w:bookmarkStart w:id="0" w:name="_GoBack"/>
      <w:bookmarkEnd w:id="0"/>
      <w:r>
        <w:t xml:space="preserve">-Konferenz an, den du geschickt bekommen hast, z.B. </w:t>
      </w:r>
      <w:hyperlink r:id="rId7">
        <w:r>
          <w:rPr>
            <w:color w:val="1155CC"/>
            <w:u w:val="single"/>
          </w:rPr>
          <w:t>https://meeting.tsn.at/schulname</w:t>
        </w:r>
      </w:hyperlink>
    </w:p>
    <w:p w14:paraId="1987AD9F" w14:textId="77777777" w:rsidR="00C53DF1" w:rsidRDefault="00AF44C9">
      <w:pPr>
        <w:numPr>
          <w:ilvl w:val="0"/>
          <w:numId w:val="4"/>
        </w:numPr>
      </w:pPr>
      <w:r>
        <w:t>Gib deinen Namen und anschließend das Passwort ein, falls</w:t>
      </w:r>
      <w:r>
        <w:t xml:space="preserve"> du eines erhalten hast. </w:t>
      </w:r>
    </w:p>
    <w:p w14:paraId="051C608B" w14:textId="77777777" w:rsidR="00C53DF1" w:rsidRDefault="00AF44C9">
      <w:pPr>
        <w:numPr>
          <w:ilvl w:val="0"/>
          <w:numId w:val="4"/>
        </w:numPr>
      </w:pPr>
      <w:r>
        <w:t>Eine zu langsame Internetverbindung kann zum Stocken der Video- und Tonübertragung führen. Schlimmstenfalls bricht die Verbindung ab.</w:t>
      </w:r>
    </w:p>
    <w:p w14:paraId="2CB05551" w14:textId="77777777" w:rsidR="00C53DF1" w:rsidRDefault="00AF44C9">
      <w:pPr>
        <w:numPr>
          <w:ilvl w:val="0"/>
          <w:numId w:val="4"/>
        </w:numPr>
      </w:pPr>
      <w:r>
        <w:t>Um eine bessere Videoqualität zu erreichen, kannst du die Videoqualität z.B. auf „Standard de</w:t>
      </w:r>
      <w:r>
        <w:t>finition“ stellen: Dazu klickst du auf das Symbol mit den drei Punkten rechts unten, dann wählst du „Manage video quality“; mit dem Schieberegler kannst du die Qualität anpassen.</w:t>
      </w:r>
    </w:p>
    <w:p w14:paraId="03C5CD56" w14:textId="77777777" w:rsidR="00C53DF1" w:rsidRDefault="00AF44C9">
      <w:pPr>
        <w:numPr>
          <w:ilvl w:val="0"/>
          <w:numId w:val="4"/>
        </w:numPr>
      </w:pPr>
      <w:r>
        <w:t>Tipp: Video ausschalten! Das erhöht die Ressourcen und führt bei Teilnehmer/</w:t>
      </w:r>
      <w:r>
        <w:t>innen mit einem schwachen WLAN weniger oft zu Abstürzen.</w:t>
      </w:r>
    </w:p>
    <w:p w14:paraId="5663059A" w14:textId="77777777" w:rsidR="00C53DF1" w:rsidRDefault="00AF44C9">
      <w:pPr>
        <w:numPr>
          <w:ilvl w:val="0"/>
          <w:numId w:val="4"/>
        </w:numPr>
        <w:spacing w:after="240"/>
      </w:pPr>
      <w:r>
        <w:t>Falls es Probleme gibt, kannst du auch auf die App-Variante für Smartphones ausweichen (siehe unten).</w:t>
      </w:r>
    </w:p>
    <w:p w14:paraId="2FDAC8FA" w14:textId="77777777" w:rsidR="00C53DF1" w:rsidRDefault="00AF44C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63A6"/>
          <w:sz w:val="24"/>
          <w:szCs w:val="24"/>
        </w:rPr>
      </w:pPr>
      <w:r>
        <w:rPr>
          <w:i/>
          <w:color w:val="0063A6"/>
          <w:sz w:val="24"/>
          <w:szCs w:val="24"/>
        </w:rPr>
        <w:t>Verbindung über eine App auf einem Smartphone/Tablet</w:t>
      </w:r>
    </w:p>
    <w:p w14:paraId="775CE51A" w14:textId="77777777" w:rsidR="00C53DF1" w:rsidRDefault="00AF44C9">
      <w:pPr>
        <w:numPr>
          <w:ilvl w:val="0"/>
          <w:numId w:val="1"/>
        </w:numPr>
        <w:spacing w:before="240"/>
      </w:pPr>
      <w:r>
        <w:t xml:space="preserve">Zuerst muss </w:t>
      </w:r>
      <w:r>
        <w:rPr>
          <w:b/>
        </w:rPr>
        <w:t>Jitsi als</w:t>
      </w:r>
      <w:r>
        <w:t xml:space="preserve"> </w:t>
      </w:r>
      <w:r>
        <w:rPr>
          <w:b/>
        </w:rPr>
        <w:t>App</w:t>
      </w:r>
      <w:r>
        <w:t xml:space="preserve"> auf dem Smartphon</w:t>
      </w:r>
      <w:r>
        <w:t>e/Tablet installiert werden: Sowohl im Apple App Store als auch im Google Play Store ist Jitsi als "</w:t>
      </w:r>
      <w:r>
        <w:rPr>
          <w:b/>
        </w:rPr>
        <w:t>Jitsi Meet</w:t>
      </w:r>
      <w:r>
        <w:t>" zu finden und kann von dort aus installiert werden.</w:t>
      </w:r>
    </w:p>
    <w:p w14:paraId="41CDFED2" w14:textId="77777777" w:rsidR="00C53DF1" w:rsidRDefault="00AF44C9">
      <w:pPr>
        <w:numPr>
          <w:ilvl w:val="0"/>
          <w:numId w:val="1"/>
        </w:numPr>
      </w:pPr>
      <w:r>
        <w:t>Nun startest du die App und gibst in der oberen Zeile (unter "Konferenznamen eingeben" bzw. "Enter room name") den Namen der Jitsi-Konferenz ein.</w:t>
      </w:r>
    </w:p>
    <w:p w14:paraId="16B5992E" w14:textId="77777777" w:rsidR="00C53DF1" w:rsidRDefault="00AF44C9">
      <w:pPr>
        <w:numPr>
          <w:ilvl w:val="0"/>
          <w:numId w:val="1"/>
        </w:numPr>
      </w:pPr>
      <w:r>
        <w:t xml:space="preserve">Oder klicke einfach den Link zur Jitsi-Konferenz an, den du geschickt bekommen hast, z.B. </w:t>
      </w:r>
      <w:hyperlink r:id="rId8">
        <w:r>
          <w:rPr>
            <w:color w:val="1155CC"/>
            <w:u w:val="single"/>
          </w:rPr>
          <w:t>https://meeting.tsn.at/nms-jenbach-mathe</w:t>
        </w:r>
      </w:hyperlink>
    </w:p>
    <w:p w14:paraId="4FC239D9" w14:textId="77777777" w:rsidR="00C53DF1" w:rsidRDefault="00AF44C9">
      <w:pPr>
        <w:numPr>
          <w:ilvl w:val="0"/>
          <w:numId w:val="1"/>
        </w:numPr>
      </w:pPr>
      <w:r>
        <w:t>Die Konferenz wird dann in der App von Jitsi geöffnet.</w:t>
      </w:r>
    </w:p>
    <w:p w14:paraId="69322640" w14:textId="77777777" w:rsidR="00C53DF1" w:rsidRDefault="00AF44C9">
      <w:pPr>
        <w:numPr>
          <w:ilvl w:val="0"/>
          <w:numId w:val="1"/>
        </w:numPr>
      </w:pPr>
      <w:r>
        <w:t>Gib deinen Namen ein. Falls du ein Passwort erhalten hast, gibst du dieses anschließend ein.</w:t>
      </w:r>
    </w:p>
    <w:p w14:paraId="43F25F15" w14:textId="77777777" w:rsidR="00C53DF1" w:rsidRDefault="00AF44C9">
      <w:pPr>
        <w:numPr>
          <w:ilvl w:val="0"/>
          <w:numId w:val="1"/>
        </w:numPr>
        <w:spacing w:after="240"/>
      </w:pPr>
      <w:r>
        <w:t>Du wirst gefragt, ob du die Kamera und das Mikrofon freigeben willst. Klicke bitte auf “Zugriff erlauben”.</w:t>
      </w:r>
    </w:p>
    <w:p w14:paraId="6EE0C803" w14:textId="77777777" w:rsidR="00C47CD1" w:rsidRDefault="00C47CD1">
      <w:pPr>
        <w:rPr>
          <w:i/>
          <w:color w:val="0063A6"/>
          <w:sz w:val="24"/>
          <w:szCs w:val="24"/>
        </w:rPr>
      </w:pPr>
      <w:r>
        <w:rPr>
          <w:i/>
          <w:color w:val="0063A6"/>
          <w:sz w:val="24"/>
          <w:szCs w:val="24"/>
        </w:rPr>
        <w:br w:type="page"/>
      </w:r>
    </w:p>
    <w:p w14:paraId="44368FCE" w14:textId="58D14213" w:rsidR="00C53DF1" w:rsidRDefault="00AF44C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63A6"/>
          <w:sz w:val="24"/>
          <w:szCs w:val="24"/>
        </w:rPr>
      </w:pPr>
      <w:r>
        <w:rPr>
          <w:i/>
          <w:color w:val="0063A6"/>
          <w:sz w:val="24"/>
          <w:szCs w:val="24"/>
        </w:rPr>
        <w:lastRenderedPageBreak/>
        <w:t>Symbole in Jitsi</w:t>
      </w:r>
    </w:p>
    <w:p w14:paraId="7C37B03E" w14:textId="77777777" w:rsidR="00C53DF1" w:rsidRDefault="00AF44C9">
      <w:pPr>
        <w:ind w:left="720"/>
      </w:pPr>
      <w:r>
        <w:rPr>
          <w:noProof/>
        </w:rPr>
        <w:drawing>
          <wp:inline distT="114300" distB="114300" distL="114300" distR="114300" wp14:anchorId="7F114DB5" wp14:editId="55DF1309">
            <wp:extent cx="1080000" cy="342353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42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unten Mitte</w:t>
      </w:r>
    </w:p>
    <w:p w14:paraId="7F7135A1" w14:textId="77777777" w:rsidR="00C53DF1" w:rsidRDefault="00AF44C9">
      <w:pPr>
        <w:numPr>
          <w:ilvl w:val="0"/>
          <w:numId w:val="2"/>
        </w:numPr>
        <w:shd w:val="clear" w:color="auto" w:fill="FFFFFF"/>
        <w:spacing w:before="240"/>
      </w:pPr>
      <w:r>
        <w:rPr>
          <w:b/>
          <w:i/>
        </w:rPr>
        <w:t>Kamera</w:t>
      </w:r>
      <w:r>
        <w:rPr>
          <w:i/>
        </w:rPr>
        <w:t xml:space="preserve">: </w:t>
      </w:r>
      <w:r>
        <w:t>Damit wird die Ka</w:t>
      </w:r>
      <w:r>
        <w:t>mera weggeschalten. Stattdessen wird der Anfangsbuchstabe des zuvor eingegebenen Namens gezeigt. Mit erneutem Klick wird die Kamera wieder aktiviert.</w:t>
      </w:r>
    </w:p>
    <w:p w14:paraId="35234C1D" w14:textId="77777777" w:rsidR="00C53DF1" w:rsidRDefault="00AF44C9">
      <w:pPr>
        <w:numPr>
          <w:ilvl w:val="0"/>
          <w:numId w:val="2"/>
        </w:numPr>
      </w:pPr>
      <w:r>
        <w:rPr>
          <w:b/>
          <w:i/>
        </w:rPr>
        <w:t>Roter Hörer</w:t>
      </w:r>
      <w:r>
        <w:rPr>
          <w:i/>
        </w:rPr>
        <w:t>:</w:t>
      </w:r>
      <w:r>
        <w:t xml:space="preserve"> Mit Klick auf den roten Hörer steigst du aus TSNmeeting aus.</w:t>
      </w:r>
    </w:p>
    <w:p w14:paraId="262BBA4C" w14:textId="77777777" w:rsidR="00C53DF1" w:rsidRDefault="00AF44C9">
      <w:pPr>
        <w:numPr>
          <w:ilvl w:val="0"/>
          <w:numId w:val="2"/>
        </w:numPr>
        <w:spacing w:after="240"/>
      </w:pPr>
      <w:r>
        <w:rPr>
          <w:b/>
          <w:i/>
        </w:rPr>
        <w:t>Mikrofon:</w:t>
      </w:r>
      <w:r>
        <w:t xml:space="preserve"> Damit wird das Mikrof</w:t>
      </w:r>
      <w:r>
        <w:t xml:space="preserve">on auf stumm geschalten bzw. wieder eingeschalten. Das brauchst du z.B., wenn jemand den Raum betritt, mit dir spricht und du nicht möchtest, dass deine Unterhaltung übertragen wird. </w:t>
      </w:r>
    </w:p>
    <w:p w14:paraId="7696AD34" w14:textId="77777777" w:rsidR="00C53DF1" w:rsidRDefault="00AF44C9">
      <w:pPr>
        <w:spacing w:before="240" w:after="240"/>
        <w:ind w:left="720"/>
      </w:pPr>
      <w:r>
        <w:rPr>
          <w:noProof/>
        </w:rPr>
        <w:drawing>
          <wp:inline distT="114300" distB="114300" distL="114300" distR="114300" wp14:anchorId="69EA2AE4" wp14:editId="577C58E0">
            <wp:extent cx="1080000" cy="36000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unten links</w:t>
      </w:r>
    </w:p>
    <w:p w14:paraId="0D7F9B8E" w14:textId="77777777" w:rsidR="00C53DF1" w:rsidRDefault="00AF44C9">
      <w:pPr>
        <w:numPr>
          <w:ilvl w:val="0"/>
          <w:numId w:val="2"/>
        </w:numPr>
        <w:spacing w:before="240"/>
      </w:pPr>
      <w:r>
        <w:rPr>
          <w:b/>
          <w:i/>
        </w:rPr>
        <w:t>Desktop-Sharing (Symbol Monitor)</w:t>
      </w:r>
      <w:r>
        <w:rPr>
          <w:i/>
        </w:rPr>
        <w:t>:</w:t>
      </w:r>
      <w:r>
        <w:t xml:space="preserve"> Du kannst deinen Bilds</w:t>
      </w:r>
      <w:r>
        <w:t xml:space="preserve">chirm mit anderen Teilnehmer/innen „teilen“, wenn du z.B.eine Powerpoint-Präsentation oder eine andere Seite auf deinem Monitor herzeigen möchtest. Auch hier wirst du gefragt, ob du deinen Bildschirm „freigeben“ möchtest. Diese Funktion funktioniert am </w:t>
      </w:r>
      <w:r>
        <w:t>besten mit Google Chrome.</w:t>
      </w:r>
    </w:p>
    <w:p w14:paraId="737F4D35" w14:textId="77777777" w:rsidR="00C53DF1" w:rsidRDefault="00AF44C9">
      <w:pPr>
        <w:numPr>
          <w:ilvl w:val="0"/>
          <w:numId w:val="2"/>
        </w:numPr>
      </w:pPr>
      <w:r>
        <w:rPr>
          <w:b/>
          <w:i/>
        </w:rPr>
        <w:t>Zu Wort melden (Symbol Hand):</w:t>
      </w:r>
      <w:r>
        <w:t xml:space="preserve"> Sobald du auf das Symbol mit der Hand klickst, erscheint in deiner Teilnehmer-Kachel (graues Viereck mit deinem Anfangsbuchstaben oder Videobild) ein blaues Symbol mit einer Hand.</w:t>
      </w:r>
    </w:p>
    <w:p w14:paraId="75C1D40D" w14:textId="77777777" w:rsidR="00C53DF1" w:rsidRDefault="00AF44C9">
      <w:pPr>
        <w:numPr>
          <w:ilvl w:val="0"/>
          <w:numId w:val="2"/>
        </w:numPr>
        <w:spacing w:after="240"/>
      </w:pPr>
      <w:r>
        <w:rPr>
          <w:b/>
          <w:i/>
        </w:rPr>
        <w:t>Chat (Symbol Sprechb</w:t>
      </w:r>
      <w:r>
        <w:rPr>
          <w:b/>
          <w:i/>
        </w:rPr>
        <w:t>lase):</w:t>
      </w:r>
      <w:r>
        <w:t xml:space="preserve"> Zusätzlich zur Videokonferenz kann auch die Chat-Funktion genutzt werden. Klickst du auf die Sprechblase, erscheint auf der linken Seite ein Chat-Fenster für die Kommunikation via Tastatur.</w:t>
      </w:r>
    </w:p>
    <w:p w14:paraId="27F0E2D9" w14:textId="77777777" w:rsidR="00C53DF1" w:rsidRDefault="00AF44C9">
      <w:pPr>
        <w:spacing w:before="240" w:after="240"/>
        <w:ind w:left="720"/>
      </w:pPr>
      <w:r>
        <w:rPr>
          <w:noProof/>
        </w:rPr>
        <w:drawing>
          <wp:inline distT="114300" distB="114300" distL="114300" distR="114300" wp14:anchorId="586A605E" wp14:editId="03FFCB92">
            <wp:extent cx="1080000" cy="443527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43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unten rechts</w:t>
      </w:r>
    </w:p>
    <w:p w14:paraId="5F3B5681" w14:textId="77777777" w:rsidR="00C53DF1" w:rsidRDefault="00AF44C9">
      <w:pPr>
        <w:numPr>
          <w:ilvl w:val="0"/>
          <w:numId w:val="2"/>
        </w:numPr>
        <w:spacing w:before="240"/>
      </w:pPr>
      <w:r>
        <w:rPr>
          <w:b/>
          <w:i/>
        </w:rPr>
        <w:t>Kachelansicht</w:t>
      </w:r>
      <w:r>
        <w:rPr>
          <w:i/>
        </w:rPr>
        <w:t>:</w:t>
      </w:r>
      <w:r>
        <w:t xml:space="preserve"> Kann durch einen Klick darau</w:t>
      </w:r>
      <w:r>
        <w:t>f ein- oder ausgeschalten werden. Die Kacheln aller Teilnehmer/innen werden in einer Übersicht angezeigt.</w:t>
      </w:r>
    </w:p>
    <w:p w14:paraId="02726B22" w14:textId="77777777" w:rsidR="00C53DF1" w:rsidRDefault="00AF44C9">
      <w:pPr>
        <w:numPr>
          <w:ilvl w:val="0"/>
          <w:numId w:val="2"/>
        </w:numPr>
      </w:pPr>
      <w:r>
        <w:rPr>
          <w:b/>
          <w:i/>
        </w:rPr>
        <w:t>“i” Information:</w:t>
      </w:r>
      <w:r>
        <w:t xml:space="preserve"> Freigabe-Link und Einwähl-Informationen für dieses Meeting</w:t>
      </w:r>
    </w:p>
    <w:p w14:paraId="7A84A9C6" w14:textId="77777777" w:rsidR="00C53DF1" w:rsidRDefault="00AF44C9">
      <w:pPr>
        <w:numPr>
          <w:ilvl w:val="0"/>
          <w:numId w:val="2"/>
        </w:numPr>
        <w:spacing w:after="240"/>
      </w:pPr>
      <w:r>
        <w:rPr>
          <w:b/>
          <w:i/>
        </w:rPr>
        <w:t xml:space="preserve">Drei Punkte: </w:t>
      </w:r>
      <w:r>
        <w:t>weitere Einstellungen (siehe Abbildungen unten)</w:t>
      </w:r>
    </w:p>
    <w:p w14:paraId="4E721A80" w14:textId="77777777" w:rsidR="00C53DF1" w:rsidRDefault="00AF44C9">
      <w:pPr>
        <w:spacing w:before="240" w:after="240"/>
        <w:ind w:left="720"/>
      </w:pPr>
      <w:r>
        <w:rPr>
          <w:noProof/>
        </w:rPr>
        <w:drawing>
          <wp:inline distT="114300" distB="114300" distL="114300" distR="114300" wp14:anchorId="07315637" wp14:editId="0AC53BF9">
            <wp:extent cx="1785938" cy="1904393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904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 wp14:anchorId="4B9A7794" wp14:editId="7FEA4479">
            <wp:extent cx="1752969" cy="1903763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969" cy="1903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50468" w14:textId="77777777" w:rsidR="00C47CD1" w:rsidRDefault="00C47CD1">
      <w:pPr>
        <w:rPr>
          <w:i/>
          <w:color w:val="0063A6"/>
          <w:sz w:val="24"/>
          <w:szCs w:val="24"/>
        </w:rPr>
      </w:pPr>
      <w:r>
        <w:rPr>
          <w:i/>
          <w:color w:val="0063A6"/>
          <w:sz w:val="24"/>
          <w:szCs w:val="24"/>
        </w:rPr>
        <w:br w:type="page"/>
      </w:r>
    </w:p>
    <w:p w14:paraId="0A6F7DF0" w14:textId="4066179F" w:rsidR="00C53DF1" w:rsidRDefault="00AF44C9">
      <w:pPr>
        <w:spacing w:before="240" w:after="240"/>
        <w:ind w:left="720"/>
      </w:pPr>
      <w:r>
        <w:rPr>
          <w:i/>
          <w:color w:val="0063A6"/>
          <w:sz w:val="24"/>
          <w:szCs w:val="24"/>
        </w:rPr>
        <w:lastRenderedPageBreak/>
        <w:t>Ein Meeting anlegen und starten</w:t>
      </w:r>
    </w:p>
    <w:p w14:paraId="723F2711" w14:textId="77777777" w:rsidR="00C53DF1" w:rsidRDefault="00AF44C9">
      <w:pPr>
        <w:numPr>
          <w:ilvl w:val="0"/>
          <w:numId w:val="3"/>
        </w:numPr>
        <w:spacing w:before="240" w:after="240"/>
        <w:ind w:left="1133" w:hanging="283"/>
      </w:pPr>
      <w:r>
        <w:t xml:space="preserve">Klicke auf den Link </w:t>
      </w:r>
      <w:hyperlink r:id="rId14">
        <w:r>
          <w:rPr>
            <w:color w:val="1155CC"/>
            <w:u w:val="single"/>
          </w:rPr>
          <w:t>https://meeting.tsn.at/</w:t>
        </w:r>
      </w:hyperlink>
      <w:r>
        <w:t xml:space="preserve"> und </w:t>
      </w:r>
      <w:r>
        <w:rPr>
          <w:b/>
        </w:rPr>
        <w:t>starte ein neues Meeting</w:t>
      </w:r>
      <w:r>
        <w:t>, indem du einen passenden Namen für das Meeting eingibst (Vorschlag: schulname-fach, also z</w:t>
      </w:r>
      <w:r>
        <w:t>.B. nms-jenbach-mathe). Klicke auf “Go” und gib deinen Namen ein.</w:t>
      </w:r>
    </w:p>
    <w:p w14:paraId="7BCAB0EE" w14:textId="77777777" w:rsidR="00C53DF1" w:rsidRDefault="00AF44C9">
      <w:pPr>
        <w:spacing w:before="240" w:after="240"/>
        <w:ind w:left="720"/>
      </w:pPr>
      <w:r>
        <w:t xml:space="preserve">       </w:t>
      </w:r>
      <w:r>
        <w:rPr>
          <w:noProof/>
        </w:rPr>
        <w:drawing>
          <wp:inline distT="114300" distB="114300" distL="114300" distR="114300" wp14:anchorId="5951E2BF" wp14:editId="35749EEA">
            <wp:extent cx="3519488" cy="2976481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9488" cy="2976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2A11C" w14:textId="77777777" w:rsidR="00C53DF1" w:rsidRDefault="00AF4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283"/>
      </w:pPr>
      <w:r>
        <w:t xml:space="preserve">Falls du als Leiter/Leiterin des Meetings ein </w:t>
      </w:r>
      <w:r>
        <w:rPr>
          <w:b/>
        </w:rPr>
        <w:t xml:space="preserve">Passwort </w:t>
      </w:r>
      <w:r>
        <w:t>setzen möchtest, klicke rechts unten auf das “i” für Information und weiter auf “Add password”. Sobald du das entsprechende Passwort - z.B. 6200jenbach) eingegeben hast, müssen sich alle Teilnehmer/innen mit diesem Passwort anmelden.</w:t>
      </w:r>
    </w:p>
    <w:p w14:paraId="5C1B7262" w14:textId="77777777" w:rsidR="00C53DF1" w:rsidRDefault="00AF44C9">
      <w:pPr>
        <w:spacing w:before="240" w:after="240"/>
        <w:ind w:left="720"/>
      </w:pPr>
      <w:r>
        <w:t xml:space="preserve">        </w:t>
      </w:r>
      <w:r>
        <w:rPr>
          <w:noProof/>
        </w:rPr>
        <w:drawing>
          <wp:inline distT="114300" distB="114300" distL="114300" distR="114300" wp14:anchorId="56015591" wp14:editId="0C3C7E5C">
            <wp:extent cx="3581400" cy="1276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FFF0D2" w14:textId="77777777" w:rsidR="00C53DF1" w:rsidRDefault="00AF4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283"/>
      </w:pPr>
      <w:r>
        <w:rPr>
          <w:b/>
        </w:rPr>
        <w:t>Wichtiger Hi</w:t>
      </w:r>
      <w:r>
        <w:rPr>
          <w:b/>
        </w:rPr>
        <w:t>nweis:</w:t>
      </w:r>
      <w:r>
        <w:t xml:space="preserve"> Versende den Link zum Meeting-Raum erst, nachdem du dich als Leiter/in des Meetings angemeldet, ein Passwort vergeben und den virtuellen Meeting-Raum betreten hast. Falls nämlich eine Person den Meeting-Raum mit einem Klick auf obigen Link vor dir b</w:t>
      </w:r>
      <w:r>
        <w:t>etritt, kannst du kein Passwort mehr vergeben.</w:t>
      </w:r>
    </w:p>
    <w:p w14:paraId="2CC66C40" w14:textId="77777777" w:rsidR="00C53DF1" w:rsidRDefault="00AF44C9">
      <w:pPr>
        <w:spacing w:before="240" w:after="240"/>
        <w:ind w:left="720"/>
        <w:jc w:val="right"/>
      </w:pPr>
      <w:r>
        <w:rPr>
          <w:sz w:val="20"/>
          <w:szCs w:val="20"/>
        </w:rPr>
        <w:t xml:space="preserve">Anleitung erstellt von Andrea </w:t>
      </w:r>
      <w:r>
        <w:t>Prock</w:t>
      </w:r>
    </w:p>
    <w:p w14:paraId="5333A36C" w14:textId="77777777" w:rsidR="00C53DF1" w:rsidRDefault="00AF44C9">
      <w:pPr>
        <w:spacing w:before="240" w:after="240"/>
        <w:ind w:left="720"/>
        <w:jc w:val="right"/>
      </w:pPr>
      <w:r>
        <w:rPr>
          <w:sz w:val="20"/>
          <w:szCs w:val="20"/>
        </w:rPr>
        <w:t>(</w:t>
      </w:r>
      <w:hyperlink r:id="rId17">
        <w:r>
          <w:rPr>
            <w:color w:val="1155CC"/>
            <w:sz w:val="20"/>
            <w:szCs w:val="20"/>
            <w:u w:val="single"/>
          </w:rPr>
          <w:t>a.prock@tsn.at</w:t>
        </w:r>
      </w:hyperlink>
      <w:r>
        <w:rPr>
          <w:sz w:val="20"/>
          <w:szCs w:val="20"/>
        </w:rPr>
        <w:t>)</w:t>
      </w:r>
    </w:p>
    <w:sectPr w:rsidR="00C53DF1">
      <w:footerReference w:type="default" r:id="rId18"/>
      <w:pgSz w:w="11909" w:h="16834"/>
      <w:pgMar w:top="11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9393" w14:textId="77777777" w:rsidR="00AF44C9" w:rsidRDefault="00AF44C9">
      <w:pPr>
        <w:spacing w:line="240" w:lineRule="auto"/>
      </w:pPr>
      <w:r>
        <w:separator/>
      </w:r>
    </w:p>
  </w:endnote>
  <w:endnote w:type="continuationSeparator" w:id="0">
    <w:p w14:paraId="39BA0F60" w14:textId="77777777" w:rsidR="00AF44C9" w:rsidRDefault="00AF4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15F9" w14:textId="77777777" w:rsidR="00C53DF1" w:rsidRDefault="00AF44C9">
    <w:r>
      <w:fldChar w:fldCharType="begin"/>
    </w:r>
    <w:r>
      <w:instrText>PAGE</w:instrText>
    </w:r>
    <w:r w:rsidR="00C47CD1">
      <w:fldChar w:fldCharType="separate"/>
    </w:r>
    <w:r w:rsidR="00C47C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4CBF" w14:textId="77777777" w:rsidR="00AF44C9" w:rsidRDefault="00AF44C9">
      <w:pPr>
        <w:spacing w:line="240" w:lineRule="auto"/>
      </w:pPr>
      <w:r>
        <w:separator/>
      </w:r>
    </w:p>
  </w:footnote>
  <w:footnote w:type="continuationSeparator" w:id="0">
    <w:p w14:paraId="5B85CC8D" w14:textId="77777777" w:rsidR="00AF44C9" w:rsidRDefault="00AF4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39D5"/>
    <w:multiLevelType w:val="multilevel"/>
    <w:tmpl w:val="D1229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E6F57"/>
    <w:multiLevelType w:val="multilevel"/>
    <w:tmpl w:val="4E3CC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9D73F1"/>
    <w:multiLevelType w:val="multilevel"/>
    <w:tmpl w:val="754444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5F16024"/>
    <w:multiLevelType w:val="multilevel"/>
    <w:tmpl w:val="42788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F1"/>
    <w:rsid w:val="00A76A68"/>
    <w:rsid w:val="00AF44C9"/>
    <w:rsid w:val="00C47CD1"/>
    <w:rsid w:val="00C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794D"/>
  <w15:docId w15:val="{C87EA0DC-1273-4531-A9F0-499CD31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sn.at/nms-jenbach-math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sn.at/nms-jenbach-mathe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a.prock@tsn.a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meeting.tsn.at/nms-jenbach-ma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Prock</cp:lastModifiedBy>
  <cp:revision>3</cp:revision>
  <cp:lastPrinted>2020-04-09T09:52:00Z</cp:lastPrinted>
  <dcterms:created xsi:type="dcterms:W3CDTF">2020-04-09T09:52:00Z</dcterms:created>
  <dcterms:modified xsi:type="dcterms:W3CDTF">2020-04-09T09:53:00Z</dcterms:modified>
</cp:coreProperties>
</file>