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643E" w:rsidRDefault="005D32A1">
      <w:pPr>
        <w:pStyle w:val="berschrift2"/>
        <w:widowControl w:val="0"/>
        <w:spacing w:before="360" w:after="80"/>
        <w:contextualSpacing w:val="0"/>
      </w:pPr>
      <w:bookmarkStart w:id="0" w:name="h.cpfeckuinbg2" w:colFirst="0" w:colLast="0"/>
      <w:bookmarkEnd w:id="0"/>
      <w:r>
        <w:rPr>
          <w:rFonts w:ascii="Calibri" w:eastAsia="Calibri" w:hAnsi="Calibri" w:cs="Calibri"/>
          <w:sz w:val="34"/>
        </w:rPr>
        <w:t xml:space="preserve">Szenario: </w:t>
      </w:r>
      <w:proofErr w:type="spellStart"/>
      <w:r>
        <w:rPr>
          <w:rFonts w:ascii="Calibri" w:eastAsia="Calibri" w:hAnsi="Calibri" w:cs="Calibri"/>
          <w:sz w:val="34"/>
        </w:rPr>
        <w:t>WebQuest</w:t>
      </w:r>
      <w:proofErr w:type="spellEnd"/>
      <w:r>
        <w:rPr>
          <w:rFonts w:ascii="Calibri" w:eastAsia="Calibri" w:hAnsi="Calibri" w:cs="Calibri"/>
          <w:sz w:val="34"/>
        </w:rPr>
        <w:t xml:space="preserve"> – Abenteuerliche Spurensuch im Internet</w:t>
      </w:r>
    </w:p>
    <w:p w:rsidR="00A7643E" w:rsidRDefault="005D32A1">
      <w:pPr>
        <w:widowControl w:val="0"/>
      </w:pPr>
      <w:proofErr w:type="gramStart"/>
      <w:r>
        <w:rPr>
          <w:rFonts w:ascii="Calibri" w:eastAsia="Calibri" w:hAnsi="Calibri" w:cs="Calibri"/>
        </w:rPr>
        <w:t>erstellt</w:t>
      </w:r>
      <w:proofErr w:type="gramEnd"/>
      <w:r>
        <w:rPr>
          <w:rFonts w:ascii="Calibri" w:eastAsia="Calibri" w:hAnsi="Calibri" w:cs="Calibri"/>
        </w:rPr>
        <w:t xml:space="preserve"> von: Helmut Hammerl, Klaus </w:t>
      </w:r>
      <w:proofErr w:type="spellStart"/>
      <w:r>
        <w:rPr>
          <w:rFonts w:ascii="Calibri" w:eastAsia="Calibri" w:hAnsi="Calibri" w:cs="Calibri"/>
        </w:rPr>
        <w:t>Astl</w:t>
      </w:r>
      <w:proofErr w:type="spellEnd"/>
      <w:r>
        <w:rPr>
          <w:rFonts w:ascii="Calibri" w:eastAsia="Calibri" w:hAnsi="Calibri" w:cs="Calibri"/>
        </w:rPr>
        <w:t>, Andrea Prock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</w:rPr>
        <w:t xml:space="preserve"> 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  <w:b/>
        </w:rPr>
        <w:t>Begriffserklärung: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</w:rPr>
        <w:t xml:space="preserve">Der Begriff </w:t>
      </w:r>
      <w:proofErr w:type="spellStart"/>
      <w:r>
        <w:rPr>
          <w:rFonts w:ascii="Calibri" w:eastAsia="Calibri" w:hAnsi="Calibri" w:cs="Calibri"/>
        </w:rPr>
        <w:t>WebQuest</w:t>
      </w:r>
      <w:proofErr w:type="spellEnd"/>
      <w:r>
        <w:rPr>
          <w:rFonts w:ascii="Calibri" w:eastAsia="Calibri" w:hAnsi="Calibri" w:cs="Calibri"/>
        </w:rPr>
        <w:t xml:space="preserve"> (engl. „quest“ = Suche) steht für "abenteuerliche Spurensuche im Internet"</w:t>
      </w:r>
      <w:r>
        <w:rPr>
          <w:rFonts w:ascii="Calibri" w:eastAsia="Calibri" w:hAnsi="Calibri" w:cs="Calibri"/>
        </w:rPr>
        <w:t>, d.h. für Aufgaben, die mit Hilfe von Informationen aus dem Internet bearbeitet werden sollen. Es geht darum, das Internet für problem- und handlungsorientiertes Lernen zu nutzen.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</w:rPr>
        <w:t xml:space="preserve">Im Rahmen von </w:t>
      </w:r>
      <w:proofErr w:type="spellStart"/>
      <w:r>
        <w:rPr>
          <w:rFonts w:ascii="Calibri" w:eastAsia="Calibri" w:hAnsi="Calibri" w:cs="Calibri"/>
        </w:rPr>
        <w:t>WebQuests</w:t>
      </w:r>
      <w:proofErr w:type="spellEnd"/>
      <w:r>
        <w:rPr>
          <w:rFonts w:ascii="Calibri" w:eastAsia="Calibri" w:hAnsi="Calibri" w:cs="Calibri"/>
        </w:rPr>
        <w:t xml:space="preserve"> arbeiten SchülerInnen nicht nur aktiv an der Aneign</w:t>
      </w:r>
      <w:r>
        <w:rPr>
          <w:rFonts w:ascii="Calibri" w:eastAsia="Calibri" w:hAnsi="Calibri" w:cs="Calibri"/>
        </w:rPr>
        <w:t>ung von Wissen, sondern auch um das Lösen komplexer Fragestellungen</w:t>
      </w:r>
      <w:r>
        <w:rPr>
          <w:rFonts w:ascii="Calibri" w:eastAsia="Calibri" w:hAnsi="Calibri" w:cs="Calibri"/>
        </w:rPr>
        <w:t>.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  <w:b/>
        </w:rPr>
        <w:t xml:space="preserve"> 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  <w:b/>
        </w:rPr>
        <w:t xml:space="preserve">Struktur und Elemente von </w:t>
      </w:r>
      <w:proofErr w:type="spellStart"/>
      <w:r>
        <w:rPr>
          <w:rFonts w:ascii="Calibri" w:eastAsia="Calibri" w:hAnsi="Calibri" w:cs="Calibri"/>
          <w:b/>
        </w:rPr>
        <w:t>WebQuests</w:t>
      </w:r>
      <w:proofErr w:type="spellEnd"/>
      <w:r>
        <w:rPr>
          <w:rFonts w:ascii="Calibri" w:eastAsia="Calibri" w:hAnsi="Calibri" w:cs="Calibri"/>
          <w:b/>
        </w:rPr>
        <w:t>:</w:t>
      </w:r>
    </w:p>
    <w:p w:rsidR="00A7643E" w:rsidRDefault="005D32A1">
      <w:pPr>
        <w:widowControl w:val="0"/>
        <w:ind w:hanging="359"/>
      </w:pPr>
      <w:r>
        <w:rPr>
          <w:rFonts w:ascii="Calibri" w:eastAsia="Calibri" w:hAnsi="Calibri" w:cs="Calibri"/>
        </w:rPr>
        <w:t>1.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Calibri" w:eastAsia="Calibri" w:hAnsi="Calibri" w:cs="Calibri"/>
          <w:b/>
        </w:rPr>
        <w:t>Einführung/Thema:</w:t>
      </w:r>
      <w:r>
        <w:rPr>
          <w:rFonts w:ascii="Calibri" w:eastAsia="Calibri" w:hAnsi="Calibri" w:cs="Calibri"/>
        </w:rPr>
        <w:t xml:space="preserve"> Eine </w:t>
      </w:r>
      <w:proofErr w:type="spellStart"/>
      <w:r>
        <w:rPr>
          <w:rFonts w:ascii="Calibri" w:eastAsia="Calibri" w:hAnsi="Calibri" w:cs="Calibri"/>
        </w:rPr>
        <w:t>WebQuest</w:t>
      </w:r>
      <w:proofErr w:type="spellEnd"/>
      <w:r>
        <w:rPr>
          <w:rFonts w:ascii="Calibri" w:eastAsia="Calibri" w:hAnsi="Calibri" w:cs="Calibri"/>
        </w:rPr>
        <w:t xml:space="preserve"> beginnt mit einer authentischen Fragestellung bzw. </w:t>
      </w:r>
      <w:r>
        <w:rPr>
          <w:rFonts w:ascii="Calibri" w:eastAsia="Calibri" w:hAnsi="Calibri" w:cs="Calibri"/>
        </w:rPr>
        <w:t>Problemsituation, die idealerweise die SchülerInnen so mo</w:t>
      </w:r>
      <w:r>
        <w:rPr>
          <w:rFonts w:ascii="Calibri" w:eastAsia="Calibri" w:hAnsi="Calibri" w:cs="Calibri"/>
        </w:rPr>
        <w:t>tiviert, dass sie sich aus eigenem Interesse der Thematik widmen und ggf. einen Lösungsansatz finden wollen.</w:t>
      </w:r>
    </w:p>
    <w:p w:rsidR="00A7643E" w:rsidRDefault="005D32A1">
      <w:pPr>
        <w:widowControl w:val="0"/>
        <w:ind w:hanging="359"/>
      </w:pPr>
      <w:r>
        <w:rPr>
          <w:rFonts w:ascii="Calibri" w:eastAsia="Calibri" w:hAnsi="Calibri" w:cs="Calibri"/>
        </w:rPr>
        <w:t>2.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Calibri" w:eastAsia="Calibri" w:hAnsi="Calibri" w:cs="Calibri"/>
          <w:b/>
        </w:rPr>
        <w:t>Aufgabe:</w:t>
      </w:r>
      <w:r>
        <w:rPr>
          <w:rFonts w:ascii="Calibri" w:eastAsia="Calibri" w:hAnsi="Calibri" w:cs="Calibri"/>
        </w:rPr>
        <w:t xml:space="preserve"> Es folgt die Aufgabenstellung, deren Komplexität vom Thema und vor allem von der Zielgruppe abhängt. Die Aufgaben werden in der Rege</w:t>
      </w:r>
      <w:r>
        <w:rPr>
          <w:rFonts w:ascii="Calibri" w:eastAsia="Calibri" w:hAnsi="Calibri" w:cs="Calibri"/>
        </w:rPr>
        <w:t>l in Gruppen bearbeitet.</w:t>
      </w:r>
    </w:p>
    <w:p w:rsidR="00A7643E" w:rsidRDefault="005D32A1">
      <w:pPr>
        <w:widowControl w:val="0"/>
        <w:ind w:hanging="359"/>
      </w:pPr>
      <w:r>
        <w:rPr>
          <w:rFonts w:ascii="Calibri" w:eastAsia="Calibri" w:hAnsi="Calibri" w:cs="Calibri"/>
        </w:rPr>
        <w:t>3.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Calibri" w:eastAsia="Calibri" w:hAnsi="Calibri" w:cs="Calibri"/>
          <w:b/>
        </w:rPr>
        <w:t>Materialien/Quellen</w:t>
      </w:r>
      <w:r>
        <w:rPr>
          <w:rFonts w:ascii="Calibri" w:eastAsia="Calibri" w:hAnsi="Calibri" w:cs="Calibri"/>
        </w:rPr>
        <w:t>: Für die Bearbeitung der Aufgabenstellung wird von der Lehrperson eine Materialiensammlung (Links, Dokumente) auf der Lernplattform zur Verfügung gestellt.</w:t>
      </w:r>
    </w:p>
    <w:p w:rsidR="00A7643E" w:rsidRDefault="005D32A1">
      <w:pPr>
        <w:widowControl w:val="0"/>
        <w:ind w:hanging="359"/>
      </w:pPr>
      <w:r>
        <w:rPr>
          <w:rFonts w:ascii="Calibri" w:eastAsia="Calibri" w:hAnsi="Calibri" w:cs="Calibri"/>
        </w:rPr>
        <w:t>4.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Calibri" w:eastAsia="Calibri" w:hAnsi="Calibri" w:cs="Calibri"/>
          <w:b/>
        </w:rPr>
        <w:t>Prozess</w:t>
      </w:r>
      <w:r>
        <w:rPr>
          <w:rFonts w:ascii="Calibri" w:eastAsia="Calibri" w:hAnsi="Calibri" w:cs="Calibri"/>
        </w:rPr>
        <w:t>: Die anschließende Prozessbeschreib</w:t>
      </w:r>
      <w:r>
        <w:rPr>
          <w:rFonts w:ascii="Calibri" w:eastAsia="Calibri" w:hAnsi="Calibri" w:cs="Calibri"/>
        </w:rPr>
        <w:t>ung soll den SchülerInnen konkrete Handlungshilfen/Unterstützung für die Lösung der Aufgabenstellung geben.</w:t>
      </w:r>
    </w:p>
    <w:p w:rsidR="00A7643E" w:rsidRDefault="005D32A1">
      <w:pPr>
        <w:widowControl w:val="0"/>
        <w:ind w:hanging="359"/>
      </w:pPr>
      <w:r>
        <w:rPr>
          <w:rFonts w:ascii="Calibri" w:eastAsia="Calibri" w:hAnsi="Calibri" w:cs="Calibri"/>
        </w:rPr>
        <w:t>5.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Calibri" w:eastAsia="Calibri" w:hAnsi="Calibri" w:cs="Calibri"/>
          <w:b/>
        </w:rPr>
        <w:t>Evaluation</w:t>
      </w:r>
      <w:r>
        <w:rPr>
          <w:rFonts w:ascii="Calibri" w:eastAsia="Calibri" w:hAnsi="Calibri" w:cs="Calibri"/>
        </w:rPr>
        <w:t xml:space="preserve">: Am Ende der </w:t>
      </w:r>
      <w:proofErr w:type="spellStart"/>
      <w:r>
        <w:rPr>
          <w:rFonts w:ascii="Calibri" w:eastAsia="Calibri" w:hAnsi="Calibri" w:cs="Calibri"/>
        </w:rPr>
        <w:t>WebQuest</w:t>
      </w:r>
      <w:proofErr w:type="spellEnd"/>
      <w:r>
        <w:rPr>
          <w:rFonts w:ascii="Calibri" w:eastAsia="Calibri" w:hAnsi="Calibri" w:cs="Calibri"/>
        </w:rPr>
        <w:t xml:space="preserve"> sollen die SchülerInnen die Möglichkeit erhalten, den Lernprozess kritisch zu reflektieren und zu bewerten. Z</w:t>
      </w:r>
      <w:r>
        <w:rPr>
          <w:rFonts w:ascii="Calibri" w:eastAsia="Calibri" w:hAnsi="Calibri" w:cs="Calibri"/>
        </w:rPr>
        <w:t>udem kann auch eine Bewertung durch den Lehrenden herangezogen werden (Lernplattform: Journal/Lerntagebuch).</w:t>
      </w:r>
    </w:p>
    <w:p w:rsidR="00A7643E" w:rsidRDefault="005D32A1">
      <w:pPr>
        <w:widowControl w:val="0"/>
        <w:ind w:hanging="359"/>
      </w:pPr>
      <w:r>
        <w:rPr>
          <w:rFonts w:ascii="Calibri" w:eastAsia="Calibri" w:hAnsi="Calibri" w:cs="Calibri"/>
        </w:rPr>
        <w:t>6.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Calibri" w:eastAsia="Calibri" w:hAnsi="Calibri" w:cs="Calibri"/>
          <w:b/>
        </w:rPr>
        <w:t>Präsentation</w:t>
      </w:r>
      <w:r>
        <w:rPr>
          <w:rFonts w:ascii="Calibri" w:eastAsia="Calibri" w:hAnsi="Calibri" w:cs="Calibri"/>
        </w:rPr>
        <w:t xml:space="preserve">: Zum </w:t>
      </w:r>
      <w:proofErr w:type="spellStart"/>
      <w:r>
        <w:rPr>
          <w:rFonts w:ascii="Calibri" w:eastAsia="Calibri" w:hAnsi="Calibri" w:cs="Calibri"/>
        </w:rPr>
        <w:t>WebQuest</w:t>
      </w:r>
      <w:proofErr w:type="spellEnd"/>
      <w:r>
        <w:rPr>
          <w:rFonts w:ascii="Calibri" w:eastAsia="Calibri" w:hAnsi="Calibri" w:cs="Calibri"/>
        </w:rPr>
        <w:t xml:space="preserve"> gehört auch die Präsentation der einzelnen (Gruppen-) Ergebnisse in adäquater Form - beispielsweise als Präsentati</w:t>
      </w:r>
      <w:r>
        <w:rPr>
          <w:rFonts w:ascii="Calibri" w:eastAsia="Calibri" w:hAnsi="Calibri" w:cs="Calibri"/>
        </w:rPr>
        <w:t>on (Text, Bild, Video, Audio) oder als Dokumentation.</w:t>
      </w:r>
    </w:p>
    <w:p w:rsidR="00A7643E" w:rsidRDefault="005D32A1">
      <w:pPr>
        <w:widowControl w:val="0"/>
      </w:pPr>
      <w:r>
        <w:t xml:space="preserve"> 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  <w:b/>
        </w:rPr>
        <w:t>Mehrwert durch Verwendung einer Lernplattform:</w:t>
      </w:r>
    </w:p>
    <w:p w:rsidR="00A7643E" w:rsidRDefault="005D32A1">
      <w:pPr>
        <w:widowControl w:val="0"/>
        <w:ind w:left="720" w:hanging="359"/>
      </w:pPr>
      <w:r>
        <w:rPr>
          <w:rFonts w:ascii="Calibri" w:eastAsia="Calibri" w:hAnsi="Calibri" w:cs="Calibri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libri" w:eastAsia="Calibri" w:hAnsi="Calibri" w:cs="Calibri"/>
        </w:rPr>
        <w:t>Exploratives, eigenständiges Arbeiten</w:t>
      </w:r>
    </w:p>
    <w:p w:rsidR="00A7643E" w:rsidRDefault="005D32A1">
      <w:pPr>
        <w:widowControl w:val="0"/>
        <w:ind w:left="720" w:hanging="359"/>
      </w:pPr>
      <w:r>
        <w:rPr>
          <w:rFonts w:ascii="Calibri" w:eastAsia="Calibri" w:hAnsi="Calibri" w:cs="Calibri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libri" w:eastAsia="Calibri" w:hAnsi="Calibri" w:cs="Calibri"/>
        </w:rPr>
        <w:t>Differenzierung, Individualisierung</w:t>
      </w:r>
    </w:p>
    <w:p w:rsidR="00A7643E" w:rsidRDefault="005D32A1">
      <w:pPr>
        <w:widowControl w:val="0"/>
        <w:ind w:left="720" w:hanging="359"/>
      </w:pPr>
      <w:r>
        <w:rPr>
          <w:rFonts w:ascii="Calibri" w:eastAsia="Calibri" w:hAnsi="Calibri" w:cs="Calibri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libri" w:eastAsia="Calibri" w:hAnsi="Calibri" w:cs="Calibri"/>
        </w:rPr>
        <w:t>problem- und handlungsorientiertes Lernen</w:t>
      </w:r>
    </w:p>
    <w:p w:rsidR="00A7643E" w:rsidRDefault="005D32A1">
      <w:pPr>
        <w:widowControl w:val="0"/>
        <w:ind w:left="720" w:hanging="359"/>
      </w:pPr>
      <w:r>
        <w:rPr>
          <w:rFonts w:ascii="Calibri" w:eastAsia="Calibri" w:hAnsi="Calibri" w:cs="Calibri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>ollaboratives</w:t>
      </w:r>
      <w:proofErr w:type="spellEnd"/>
      <w:r>
        <w:rPr>
          <w:rFonts w:ascii="Calibri" w:eastAsia="Calibri" w:hAnsi="Calibri" w:cs="Calibri"/>
        </w:rPr>
        <w:t xml:space="preserve"> und kooperatives Lernen</w:t>
      </w:r>
    </w:p>
    <w:p w:rsidR="00A7643E" w:rsidRDefault="00A7643E">
      <w:pPr>
        <w:widowControl w:val="0"/>
        <w:ind w:left="360"/>
      </w:pPr>
    </w:p>
    <w:p w:rsidR="00A7643E" w:rsidRDefault="005D32A1">
      <w:pPr>
        <w:widowControl w:val="0"/>
      </w:pPr>
      <w:r>
        <w:rPr>
          <w:rFonts w:ascii="Calibri" w:eastAsia="Calibri" w:hAnsi="Calibri" w:cs="Calibri"/>
          <w:b/>
        </w:rPr>
        <w:t>Vorteile:</w:t>
      </w:r>
    </w:p>
    <w:p w:rsidR="00A7643E" w:rsidRDefault="005D32A1">
      <w:pPr>
        <w:widowControl w:val="0"/>
        <w:spacing w:before="80" w:after="120" w:line="314" w:lineRule="auto"/>
      </w:pPr>
      <w:r>
        <w:rPr>
          <w:rFonts w:ascii="Calibri" w:eastAsia="Calibri" w:hAnsi="Calibri" w:cs="Calibri"/>
          <w:highlight w:val="white"/>
        </w:rPr>
        <w:t xml:space="preserve">Nach Dodge (nachzulesen bei Wagner 2004) werden mittels der </w:t>
      </w:r>
      <w:proofErr w:type="spellStart"/>
      <w:r>
        <w:rPr>
          <w:rFonts w:ascii="Calibri" w:eastAsia="Calibri" w:hAnsi="Calibri" w:cs="Calibri"/>
          <w:highlight w:val="white"/>
        </w:rPr>
        <w:t>WebQuest</w:t>
      </w:r>
      <w:proofErr w:type="spellEnd"/>
      <w:r>
        <w:rPr>
          <w:rFonts w:ascii="Calibri" w:eastAsia="Calibri" w:hAnsi="Calibri" w:cs="Calibri"/>
          <w:highlight w:val="white"/>
        </w:rPr>
        <w:t>-Methode unterschiedliche Denkfähigkeiten aktiviert.</w:t>
      </w:r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t xml:space="preserve">1. </w:t>
      </w:r>
      <w:r>
        <w:rPr>
          <w:rFonts w:ascii="Calibri" w:eastAsia="Calibri" w:hAnsi="Calibri" w:cs="Calibri"/>
          <w:b/>
          <w:highlight w:val="white"/>
        </w:rPr>
        <w:t>Vergleichen</w:t>
      </w:r>
      <w:r>
        <w:rPr>
          <w:rFonts w:ascii="Calibri" w:eastAsia="Calibri" w:hAnsi="Calibri" w:cs="Calibri"/>
          <w:highlight w:val="white"/>
        </w:rPr>
        <w:t>: Ähnlichkeiten und Unterschiede zwischen Dingen erkennen und benennen.</w:t>
      </w:r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t xml:space="preserve">2. </w:t>
      </w:r>
      <w:r>
        <w:rPr>
          <w:rFonts w:ascii="Calibri" w:eastAsia="Calibri" w:hAnsi="Calibri" w:cs="Calibri"/>
          <w:b/>
          <w:highlight w:val="white"/>
        </w:rPr>
        <w:t>Klassifizieren</w:t>
      </w:r>
      <w:r>
        <w:rPr>
          <w:rFonts w:ascii="Calibri" w:eastAsia="Calibri" w:hAnsi="Calibri" w:cs="Calibri"/>
          <w:highlight w:val="white"/>
        </w:rPr>
        <w:t>: Dinge nach festzulegenden Kategorien aufgrund ihrer Eigenschaften in Gruppen einteilen.</w:t>
      </w:r>
      <w:bookmarkStart w:id="1" w:name="_GoBack"/>
      <w:bookmarkEnd w:id="1"/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lastRenderedPageBreak/>
        <w:t xml:space="preserve">3. </w:t>
      </w:r>
      <w:r>
        <w:rPr>
          <w:rFonts w:ascii="Calibri" w:eastAsia="Calibri" w:hAnsi="Calibri" w:cs="Calibri"/>
          <w:b/>
          <w:highlight w:val="white"/>
        </w:rPr>
        <w:t>Ableiten</w:t>
      </w:r>
      <w:r>
        <w:rPr>
          <w:rFonts w:ascii="Calibri" w:eastAsia="Calibri" w:hAnsi="Calibri" w:cs="Calibri"/>
          <w:highlight w:val="white"/>
        </w:rPr>
        <w:t>: Ausgehend von Beobachtungen oder Analysen nicht bekannte Verallgemeinerungen oder Prinzipien ableiten.</w:t>
      </w:r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t xml:space="preserve">4. </w:t>
      </w:r>
      <w:r>
        <w:rPr>
          <w:rFonts w:ascii="Calibri" w:eastAsia="Calibri" w:hAnsi="Calibri" w:cs="Calibri"/>
          <w:b/>
          <w:highlight w:val="white"/>
        </w:rPr>
        <w:t>Schlussfolgern</w:t>
      </w:r>
      <w:r>
        <w:rPr>
          <w:rFonts w:ascii="Calibri" w:eastAsia="Calibri" w:hAnsi="Calibri" w:cs="Calibri"/>
          <w:highlight w:val="white"/>
        </w:rPr>
        <w:t>: Nicht genannte</w:t>
      </w:r>
      <w:r>
        <w:rPr>
          <w:rFonts w:ascii="Calibri" w:eastAsia="Calibri" w:hAnsi="Calibri" w:cs="Calibri"/>
          <w:highlight w:val="white"/>
        </w:rPr>
        <w:t xml:space="preserve"> Folgen und Bedingungen aus gegebenen Grundsätzen und Verallgemeinerungen ableiten.</w:t>
      </w:r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t xml:space="preserve">5. </w:t>
      </w:r>
      <w:r>
        <w:rPr>
          <w:rFonts w:ascii="Calibri" w:eastAsia="Calibri" w:hAnsi="Calibri" w:cs="Calibri"/>
          <w:b/>
          <w:highlight w:val="white"/>
        </w:rPr>
        <w:t>Fehler analysieren</w:t>
      </w:r>
      <w:r>
        <w:rPr>
          <w:rFonts w:ascii="Calibri" w:eastAsia="Calibri" w:hAnsi="Calibri" w:cs="Calibri"/>
          <w:highlight w:val="white"/>
        </w:rPr>
        <w:t>: Fehler in eigenen oder den Gedankengängen anderer erkennen und benennen.</w:t>
      </w:r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t xml:space="preserve">6. </w:t>
      </w:r>
      <w:r>
        <w:rPr>
          <w:rFonts w:ascii="Calibri" w:eastAsia="Calibri" w:hAnsi="Calibri" w:cs="Calibri"/>
          <w:b/>
          <w:highlight w:val="white"/>
        </w:rPr>
        <w:t>Beweise führen</w:t>
      </w:r>
      <w:r>
        <w:rPr>
          <w:rFonts w:ascii="Calibri" w:eastAsia="Calibri" w:hAnsi="Calibri" w:cs="Calibri"/>
          <w:highlight w:val="white"/>
        </w:rPr>
        <w:t>: eine Argumentationskette zur Unterstützung oder zum Bewei</w:t>
      </w:r>
      <w:r>
        <w:rPr>
          <w:rFonts w:ascii="Calibri" w:eastAsia="Calibri" w:hAnsi="Calibri" w:cs="Calibri"/>
          <w:highlight w:val="white"/>
        </w:rPr>
        <w:t>s für eine Annahme aufbauen.</w:t>
      </w:r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t xml:space="preserve">7. </w:t>
      </w:r>
      <w:r>
        <w:rPr>
          <w:rFonts w:ascii="Calibri" w:eastAsia="Calibri" w:hAnsi="Calibri" w:cs="Calibri"/>
          <w:b/>
          <w:highlight w:val="white"/>
        </w:rPr>
        <w:t>Abstrahieren</w:t>
      </w:r>
      <w:r>
        <w:rPr>
          <w:rFonts w:ascii="Calibri" w:eastAsia="Calibri" w:hAnsi="Calibri" w:cs="Calibri"/>
          <w:highlight w:val="white"/>
        </w:rPr>
        <w:t>: das Informationen zugrundliegende Thema oder Grundmuster erkennen und benennen.</w:t>
      </w:r>
    </w:p>
    <w:p w:rsidR="00A7643E" w:rsidRDefault="005D32A1" w:rsidP="005D32A1">
      <w:pPr>
        <w:widowControl w:val="0"/>
        <w:spacing w:before="80" w:after="120" w:line="314" w:lineRule="auto"/>
        <w:ind w:left="284" w:hanging="284"/>
      </w:pPr>
      <w:r>
        <w:rPr>
          <w:rFonts w:ascii="Calibri" w:eastAsia="Calibri" w:hAnsi="Calibri" w:cs="Calibri"/>
          <w:highlight w:val="white"/>
        </w:rPr>
        <w:t xml:space="preserve">8. </w:t>
      </w:r>
      <w:r>
        <w:rPr>
          <w:rFonts w:ascii="Calibri" w:eastAsia="Calibri" w:hAnsi="Calibri" w:cs="Calibri"/>
          <w:b/>
          <w:highlight w:val="white"/>
        </w:rPr>
        <w:t>Standpunkte und Ansichten analysieren</w:t>
      </w:r>
      <w:r>
        <w:rPr>
          <w:rFonts w:ascii="Calibri" w:eastAsia="Calibri" w:hAnsi="Calibri" w:cs="Calibri"/>
          <w:highlight w:val="white"/>
        </w:rPr>
        <w:t>: unterschiedliche Standpunkte und Ansichten zu einem Thema erkennen und benennen.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</w:rPr>
        <w:t xml:space="preserve"> </w:t>
      </w:r>
    </w:p>
    <w:p w:rsidR="00A7643E" w:rsidRDefault="005D32A1">
      <w:pPr>
        <w:widowControl w:val="0"/>
      </w:pPr>
      <w:r>
        <w:rPr>
          <w:rFonts w:ascii="Calibri" w:eastAsia="Calibri" w:hAnsi="Calibri" w:cs="Calibri"/>
          <w:b/>
        </w:rPr>
        <w:t>Hinwe</w:t>
      </w:r>
      <w:r>
        <w:rPr>
          <w:rFonts w:ascii="Calibri" w:eastAsia="Calibri" w:hAnsi="Calibri" w:cs="Calibri"/>
          <w:b/>
        </w:rPr>
        <w:t>ise für den Einsatz:</w:t>
      </w:r>
    </w:p>
    <w:p w:rsidR="00A7643E" w:rsidRDefault="005D32A1">
      <w:pPr>
        <w:widowControl w:val="0"/>
        <w:ind w:left="720" w:hanging="359"/>
      </w:pPr>
      <w:r>
        <w:rPr>
          <w:rFonts w:ascii="Calibri" w:eastAsia="Calibri" w:hAnsi="Calibri" w:cs="Calibri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libri" w:eastAsia="Calibri" w:hAnsi="Calibri" w:cs="Calibri"/>
        </w:rPr>
        <w:t>beinahe in jedem Gegenstand möglich</w:t>
      </w:r>
    </w:p>
    <w:p w:rsidR="00A7643E" w:rsidRDefault="005D32A1">
      <w:pPr>
        <w:widowControl w:val="0"/>
        <w:ind w:left="720" w:hanging="359"/>
      </w:pPr>
      <w:r>
        <w:rPr>
          <w:rFonts w:ascii="Calibri" w:eastAsia="Calibri" w:hAnsi="Calibri" w:cs="Calibri"/>
        </w:rPr>
        <w:t>●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libri" w:eastAsia="Calibri" w:hAnsi="Calibri" w:cs="Calibri"/>
        </w:rPr>
        <w:t>Konzeption nimmt viel Zeit in Anspruch</w:t>
      </w:r>
    </w:p>
    <w:p w:rsidR="00A7643E" w:rsidRDefault="005D32A1">
      <w:pPr>
        <w:widowControl w:val="0"/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Internetlinks veralten manchmal schnell, daher immer wieder überprüfen</w:t>
      </w:r>
    </w:p>
    <w:p w:rsidR="00A7643E" w:rsidRDefault="005D32A1">
      <w:pPr>
        <w:widowControl w:val="0"/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 „</w:t>
      </w:r>
      <w:proofErr w:type="spellStart"/>
      <w:r>
        <w:rPr>
          <w:rFonts w:ascii="Calibri" w:eastAsia="Calibri" w:hAnsi="Calibri" w:cs="Calibri"/>
        </w:rPr>
        <w:t>Copy</w:t>
      </w:r>
      <w:proofErr w:type="spellEnd"/>
      <w:r>
        <w:rPr>
          <w:rFonts w:ascii="Calibri" w:eastAsia="Calibri" w:hAnsi="Calibri" w:cs="Calibri"/>
        </w:rPr>
        <w:t>-Paste-Missbrauch“ zu vermeiden,  sollen konkrete Fragestellung</w:t>
      </w:r>
      <w:r>
        <w:rPr>
          <w:rFonts w:ascii="Calibri" w:eastAsia="Calibri" w:hAnsi="Calibri" w:cs="Calibri"/>
        </w:rPr>
        <w:t xml:space="preserve">en vorgegeben werden  </w:t>
      </w:r>
    </w:p>
    <w:p w:rsidR="00A7643E" w:rsidRDefault="00A7643E">
      <w:pPr>
        <w:widowControl w:val="0"/>
      </w:pPr>
    </w:p>
    <w:p w:rsidR="00A7643E" w:rsidRDefault="005D32A1">
      <w:pPr>
        <w:widowControl w:val="0"/>
      </w:pPr>
      <w:r>
        <w:rPr>
          <w:rFonts w:ascii="Calibri" w:eastAsia="Calibri" w:hAnsi="Calibri" w:cs="Calibri"/>
          <w:b/>
        </w:rPr>
        <w:t xml:space="preserve">Vorschlag für Zeitplanung (6 bis 8 Stunden): </w:t>
      </w:r>
    </w:p>
    <w:p w:rsidR="00A7643E" w:rsidRDefault="005D32A1">
      <w:pPr>
        <w:widowControl w:val="0"/>
        <w:ind w:left="720"/>
      </w:pPr>
      <w:r>
        <w:rPr>
          <w:rFonts w:ascii="Calibri" w:eastAsia="Calibri" w:hAnsi="Calibri" w:cs="Calibri"/>
        </w:rPr>
        <w:t xml:space="preserve">1. Stunde: Chat - Brainstorming, Gruppenfindung, Sammlung von Ideen im Wiki </w:t>
      </w:r>
    </w:p>
    <w:p w:rsidR="00A7643E" w:rsidRDefault="005D32A1">
      <w:pPr>
        <w:widowControl w:val="0"/>
        <w:ind w:left="720"/>
      </w:pPr>
      <w:r>
        <w:rPr>
          <w:rFonts w:ascii="Calibri" w:eastAsia="Calibri" w:hAnsi="Calibri" w:cs="Calibri"/>
        </w:rPr>
        <w:t xml:space="preserve">2. Stunde: Thema im Glossar (Wörterbuch) beschreiben, Eintrag ins Lerntagebuch </w:t>
      </w:r>
    </w:p>
    <w:p w:rsidR="00A7643E" w:rsidRDefault="005D32A1">
      <w:pPr>
        <w:widowControl w:val="0"/>
        <w:ind w:left="720"/>
      </w:pPr>
      <w:r>
        <w:rPr>
          <w:rFonts w:ascii="Calibri" w:eastAsia="Calibri" w:hAnsi="Calibri" w:cs="Calibri"/>
        </w:rPr>
        <w:t>3. Stunde: Idee mit digitalen</w:t>
      </w:r>
      <w:r>
        <w:rPr>
          <w:rFonts w:ascii="Calibri" w:eastAsia="Calibri" w:hAnsi="Calibri" w:cs="Calibri"/>
        </w:rPr>
        <w:t xml:space="preserve"> Medien umsetzen (z.B. Filmen, Fotografieren, Texte schreiben) </w:t>
      </w:r>
    </w:p>
    <w:p w:rsidR="00A7643E" w:rsidRDefault="005D32A1">
      <w:pPr>
        <w:widowControl w:val="0"/>
        <w:ind w:left="720"/>
      </w:pPr>
      <w:r>
        <w:rPr>
          <w:rFonts w:ascii="Calibri" w:eastAsia="Calibri" w:hAnsi="Calibri" w:cs="Calibri"/>
        </w:rPr>
        <w:t xml:space="preserve">4. Stunde: Thema umsetzen </w:t>
      </w:r>
    </w:p>
    <w:p w:rsidR="00A7643E" w:rsidRDefault="005D32A1">
      <w:pPr>
        <w:widowControl w:val="0"/>
        <w:ind w:left="720"/>
      </w:pPr>
      <w:r>
        <w:rPr>
          <w:rFonts w:ascii="Calibri" w:eastAsia="Calibri" w:hAnsi="Calibri" w:cs="Calibri"/>
        </w:rPr>
        <w:t xml:space="preserve">5. Stunde: Produkt fertigstellen </w:t>
      </w:r>
    </w:p>
    <w:p w:rsidR="00A7643E" w:rsidRDefault="005D32A1">
      <w:pPr>
        <w:widowControl w:val="0"/>
        <w:ind w:left="720"/>
      </w:pPr>
      <w:r>
        <w:rPr>
          <w:rFonts w:ascii="Calibri" w:eastAsia="Calibri" w:hAnsi="Calibri" w:cs="Calibri"/>
        </w:rPr>
        <w:t xml:space="preserve">6. Stunde: Produkt ins Forum hochladen oder darauf verlinken </w:t>
      </w:r>
    </w:p>
    <w:p w:rsidR="00A7643E" w:rsidRDefault="005D32A1">
      <w:pPr>
        <w:widowControl w:val="0"/>
        <w:ind w:left="720"/>
      </w:pPr>
      <w:r>
        <w:rPr>
          <w:rFonts w:ascii="Calibri" w:eastAsia="Calibri" w:hAnsi="Calibri" w:cs="Calibri"/>
        </w:rPr>
        <w:t>7. Stunde: Bewertung durchführen und Lerntagebuch fertigstellen</w:t>
      </w:r>
    </w:p>
    <w:p w:rsidR="00A7643E" w:rsidRDefault="00A7643E">
      <w:pPr>
        <w:widowControl w:val="0"/>
        <w:ind w:left="720" w:hanging="359"/>
      </w:pPr>
    </w:p>
    <w:p w:rsidR="00A7643E" w:rsidRDefault="005D32A1">
      <w:pPr>
        <w:widowControl w:val="0"/>
      </w:pPr>
      <w:r>
        <w:t xml:space="preserve"> </w:t>
      </w:r>
    </w:p>
    <w:p w:rsidR="00A7643E" w:rsidRDefault="00A7643E">
      <w:pPr>
        <w:widowControl w:val="0"/>
      </w:pPr>
    </w:p>
    <w:p w:rsidR="00A7643E" w:rsidRDefault="005D32A1">
      <w:pPr>
        <w:widowControl w:val="0"/>
      </w:pPr>
      <w:r>
        <w:rPr>
          <w:rFonts w:ascii="Calibri" w:eastAsia="Calibri" w:hAnsi="Calibri" w:cs="Calibri"/>
        </w:rPr>
        <w:t xml:space="preserve"> </w:t>
      </w:r>
    </w:p>
    <w:p w:rsidR="00A7643E" w:rsidRDefault="005D32A1">
      <w:pPr>
        <w:widowControl w:val="0"/>
      </w:pPr>
      <w:r>
        <w:t xml:space="preserve"> </w:t>
      </w:r>
    </w:p>
    <w:p w:rsidR="00A7643E" w:rsidRDefault="005D32A1">
      <w:pPr>
        <w:widowControl w:val="0"/>
      </w:pPr>
      <w:r>
        <w:t xml:space="preserve"> </w:t>
      </w:r>
    </w:p>
    <w:p w:rsidR="00A7643E" w:rsidRDefault="005D32A1">
      <w:pPr>
        <w:widowControl w:val="0"/>
      </w:pPr>
      <w:r>
        <w:t xml:space="preserve"> </w:t>
      </w:r>
    </w:p>
    <w:p w:rsidR="00A7643E" w:rsidRDefault="00A7643E">
      <w:pPr>
        <w:widowControl w:val="0"/>
      </w:pPr>
    </w:p>
    <w:sectPr w:rsidR="00A7643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F028A"/>
    <w:multiLevelType w:val="multilevel"/>
    <w:tmpl w:val="349E1F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3E"/>
    <w:rsid w:val="005D32A1"/>
    <w:rsid w:val="00A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F3BA6-61F0-40A0-A4AB-EBEB629E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berschrift1">
    <w:name w:val="heading 1"/>
    <w:basedOn w:val="Standard"/>
    <w:next w:val="Stand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berschrift2">
    <w:name w:val="heading 2"/>
    <w:basedOn w:val="Standard"/>
    <w:next w:val="Stand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berschrift3">
    <w:name w:val="heading 3"/>
    <w:basedOn w:val="Standard"/>
    <w:next w:val="Stand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berschrift4">
    <w:name w:val="heading 4"/>
    <w:basedOn w:val="Standard"/>
    <w:next w:val="Stand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tertitel">
    <w:name w:val="Subtitle"/>
    <w:basedOn w:val="Standard"/>
    <w:next w:val="Stand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Szenario Webquest.docx</vt:lpstr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Szenario Webquest.docx</dc:title>
  <dc:creator>Andrea</dc:creator>
  <cp:lastModifiedBy>Andrea Prock</cp:lastModifiedBy>
  <cp:revision>2</cp:revision>
  <dcterms:created xsi:type="dcterms:W3CDTF">2014-01-26T17:11:00Z</dcterms:created>
  <dcterms:modified xsi:type="dcterms:W3CDTF">2014-01-26T17:11:00Z</dcterms:modified>
</cp:coreProperties>
</file>